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91"/>
        <w:gridCol w:w="1033"/>
        <w:gridCol w:w="1195"/>
        <w:gridCol w:w="973"/>
        <w:gridCol w:w="161"/>
        <w:gridCol w:w="644"/>
        <w:gridCol w:w="705"/>
        <w:gridCol w:w="352"/>
        <w:gridCol w:w="329"/>
        <w:gridCol w:w="682"/>
        <w:gridCol w:w="455"/>
        <w:gridCol w:w="272"/>
      </w:tblGrid>
      <w:tr w:rsidR="00D114ED" w:rsidRPr="00DE062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</w:tr>
      <w:tr w:rsidR="00D114ED" w:rsidRPr="00DE062B">
        <w:trPr>
          <w:trHeight w:hRule="exact" w:val="478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 w:rsidRPr="00DE062B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ПОЯСНЮВАЛЬНА ЗАПИСКА</w:t>
            </w:r>
          </w:p>
        </w:tc>
      </w:tr>
      <w:tr w:rsidR="00D114ED" w:rsidRPr="00DE062B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D114ED" w:rsidRPr="00DE062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114ED" w:rsidRPr="00DE062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D114ED" w:rsidRPr="00DE062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D114ED" w:rsidRPr="00DE062B">
        <w:trPr>
          <w:trHeight w:hRule="exact" w:val="44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DE062B">
              <w:t xml:space="preserve"> 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D114ED" w:rsidRPr="00DE062B">
        <w:trPr>
          <w:trHeight w:hRule="exact" w:val="449"/>
        </w:trPr>
        <w:tc>
          <w:tcPr>
            <w:tcW w:w="815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DE062B">
              <w:t xml:space="preserve"> </w:t>
            </w: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46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DE062B">
              <w:t xml:space="preserve"> </w:t>
            </w:r>
            <w:r w:rsidRPr="00DE06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DE062B">
              <w:t xml:space="preserve"> </w:t>
            </w:r>
          </w:p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</w:tr>
      <w:tr w:rsidR="00D114ED" w:rsidRPr="00DE062B">
        <w:trPr>
          <w:trHeight w:hRule="exact" w:val="302"/>
        </w:trPr>
        <w:tc>
          <w:tcPr>
            <w:tcW w:w="2552" w:type="dxa"/>
          </w:tcPr>
          <w:p w:rsidR="00D114ED" w:rsidRPr="00DE062B" w:rsidRDefault="00D114ED"/>
        </w:tc>
        <w:tc>
          <w:tcPr>
            <w:tcW w:w="891" w:type="dxa"/>
          </w:tcPr>
          <w:p w:rsidR="00D114ED" w:rsidRPr="00DE062B" w:rsidRDefault="00D114ED"/>
        </w:tc>
        <w:tc>
          <w:tcPr>
            <w:tcW w:w="1033" w:type="dxa"/>
          </w:tcPr>
          <w:p w:rsidR="00D114ED" w:rsidRPr="00DE062B" w:rsidRDefault="00D114ED"/>
        </w:tc>
        <w:tc>
          <w:tcPr>
            <w:tcW w:w="1195" w:type="dxa"/>
          </w:tcPr>
          <w:p w:rsidR="00D114ED" w:rsidRPr="00DE062B" w:rsidRDefault="00D114ED"/>
        </w:tc>
        <w:tc>
          <w:tcPr>
            <w:tcW w:w="973" w:type="dxa"/>
          </w:tcPr>
          <w:p w:rsidR="00D114ED" w:rsidRPr="00DE062B" w:rsidRDefault="00D114ED"/>
        </w:tc>
        <w:tc>
          <w:tcPr>
            <w:tcW w:w="161" w:type="dxa"/>
          </w:tcPr>
          <w:p w:rsidR="00D114ED" w:rsidRPr="00DE062B" w:rsidRDefault="00D114ED"/>
        </w:tc>
        <w:tc>
          <w:tcPr>
            <w:tcW w:w="644" w:type="dxa"/>
          </w:tcPr>
          <w:p w:rsidR="00D114ED" w:rsidRPr="00DE062B" w:rsidRDefault="00D114ED"/>
        </w:tc>
        <w:tc>
          <w:tcPr>
            <w:tcW w:w="705" w:type="dxa"/>
          </w:tcPr>
          <w:p w:rsidR="00D114ED" w:rsidRPr="00DE062B" w:rsidRDefault="00D114ED"/>
        </w:tc>
        <w:tc>
          <w:tcPr>
            <w:tcW w:w="352" w:type="dxa"/>
          </w:tcPr>
          <w:p w:rsidR="00D114ED" w:rsidRPr="00DE062B" w:rsidRDefault="00D114ED"/>
        </w:tc>
        <w:tc>
          <w:tcPr>
            <w:tcW w:w="329" w:type="dxa"/>
          </w:tcPr>
          <w:p w:rsidR="00D114ED" w:rsidRPr="00DE062B" w:rsidRDefault="00D114ED"/>
        </w:tc>
        <w:tc>
          <w:tcPr>
            <w:tcW w:w="680" w:type="dxa"/>
          </w:tcPr>
          <w:p w:rsidR="00D114ED" w:rsidRPr="00DE062B" w:rsidRDefault="00D114ED"/>
        </w:tc>
        <w:tc>
          <w:tcPr>
            <w:tcW w:w="408" w:type="dxa"/>
          </w:tcPr>
          <w:p w:rsidR="00D114ED" w:rsidRPr="00DE062B" w:rsidRDefault="00D114ED"/>
        </w:tc>
        <w:tc>
          <w:tcPr>
            <w:tcW w:w="272" w:type="dxa"/>
          </w:tcPr>
          <w:p w:rsidR="00D114ED" w:rsidRPr="00DE062B" w:rsidRDefault="00D114ED"/>
        </w:tc>
      </w:tr>
      <w:tr w:rsidR="00D114ED" w:rsidRPr="00DE062B">
        <w:trPr>
          <w:trHeight w:hRule="exact" w:val="32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Найменування органу, якому підпорядкована установа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Середня чисельність працівників</w:t>
            </w:r>
          </w:p>
        </w:tc>
      </w:tr>
      <w:tr w:rsidR="00D114ED" w:rsidRPr="00DE062B">
        <w:trPr>
          <w:trHeight w:hRule="exact" w:val="166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E062B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E062B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E062B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</w:tr>
      <w:tr w:rsidR="00D114ED" w:rsidRPr="00DE062B">
        <w:trPr>
          <w:trHeight w:hRule="exact" w:val="32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color w:val="000000"/>
                <w:sz w:val="12"/>
                <w:szCs w:val="12"/>
              </w:rPr>
              <w:t>Хмельницький професійний ліцей займається підготовкою та передпідготовкою робітничих кадрів та фінансується з міського бюджету.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color w:val="000000"/>
                <w:sz w:val="12"/>
                <w:szCs w:val="12"/>
              </w:rPr>
              <w:t>Міністерство освіти і науки України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color w:val="000000"/>
                <w:sz w:val="12"/>
                <w:szCs w:val="12"/>
              </w:rPr>
              <w:t>90</w:t>
            </w:r>
          </w:p>
        </w:tc>
      </w:tr>
      <w:tr w:rsidR="00D114ED" w:rsidRPr="00DE062B">
        <w:trPr>
          <w:trHeight w:hRule="exact" w:val="277"/>
        </w:trPr>
        <w:tc>
          <w:tcPr>
            <w:tcW w:w="2552" w:type="dxa"/>
          </w:tcPr>
          <w:p w:rsidR="00D114ED" w:rsidRPr="00DE062B" w:rsidRDefault="00D114ED"/>
        </w:tc>
        <w:tc>
          <w:tcPr>
            <w:tcW w:w="891" w:type="dxa"/>
          </w:tcPr>
          <w:p w:rsidR="00D114ED" w:rsidRPr="00DE062B" w:rsidRDefault="00D114ED"/>
        </w:tc>
        <w:tc>
          <w:tcPr>
            <w:tcW w:w="1033" w:type="dxa"/>
          </w:tcPr>
          <w:p w:rsidR="00D114ED" w:rsidRPr="00DE062B" w:rsidRDefault="00D114ED"/>
        </w:tc>
        <w:tc>
          <w:tcPr>
            <w:tcW w:w="1195" w:type="dxa"/>
          </w:tcPr>
          <w:p w:rsidR="00D114ED" w:rsidRPr="00DE062B" w:rsidRDefault="00D114ED"/>
        </w:tc>
        <w:tc>
          <w:tcPr>
            <w:tcW w:w="973" w:type="dxa"/>
          </w:tcPr>
          <w:p w:rsidR="00D114ED" w:rsidRPr="00DE062B" w:rsidRDefault="00D114ED"/>
        </w:tc>
        <w:tc>
          <w:tcPr>
            <w:tcW w:w="161" w:type="dxa"/>
          </w:tcPr>
          <w:p w:rsidR="00D114ED" w:rsidRPr="00DE062B" w:rsidRDefault="00D114ED"/>
        </w:tc>
        <w:tc>
          <w:tcPr>
            <w:tcW w:w="644" w:type="dxa"/>
          </w:tcPr>
          <w:p w:rsidR="00D114ED" w:rsidRPr="00DE062B" w:rsidRDefault="00D114ED"/>
        </w:tc>
        <w:tc>
          <w:tcPr>
            <w:tcW w:w="705" w:type="dxa"/>
          </w:tcPr>
          <w:p w:rsidR="00D114ED" w:rsidRPr="00DE062B" w:rsidRDefault="00D114ED"/>
        </w:tc>
        <w:tc>
          <w:tcPr>
            <w:tcW w:w="352" w:type="dxa"/>
          </w:tcPr>
          <w:p w:rsidR="00D114ED" w:rsidRPr="00DE062B" w:rsidRDefault="00D114ED"/>
        </w:tc>
        <w:tc>
          <w:tcPr>
            <w:tcW w:w="329" w:type="dxa"/>
          </w:tcPr>
          <w:p w:rsidR="00D114ED" w:rsidRPr="00DE062B" w:rsidRDefault="00D114ED"/>
        </w:tc>
        <w:tc>
          <w:tcPr>
            <w:tcW w:w="680" w:type="dxa"/>
          </w:tcPr>
          <w:p w:rsidR="00D114ED" w:rsidRPr="00DE062B" w:rsidRDefault="00D114ED"/>
        </w:tc>
        <w:tc>
          <w:tcPr>
            <w:tcW w:w="408" w:type="dxa"/>
          </w:tcPr>
          <w:p w:rsidR="00D114ED" w:rsidRPr="00DE062B" w:rsidRDefault="00D114ED"/>
        </w:tc>
        <w:tc>
          <w:tcPr>
            <w:tcW w:w="272" w:type="dxa"/>
          </w:tcPr>
          <w:p w:rsidR="00D114ED" w:rsidRPr="00DE062B" w:rsidRDefault="00D114ED"/>
        </w:tc>
      </w:tr>
      <w:tr w:rsidR="00D114ED" w:rsidRPr="00DE062B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Станом на 1 січня 2024 року в ліцеї навчається 548 учнів. та 23 чоловік дорослого населення проходить передпідготовку. За  2024 рік на рахунок ліцею надійшло та використано коштів загального фонду – 23756861,38 грн.,субвенцій – 3402090,32 грн. ( КПК 06110092). та4031,91 грн (КПК- 0611210). Залишку коштів станом на 1 січня 2024 року не має .</w:t>
            </w:r>
          </w:p>
        </w:tc>
      </w:tr>
      <w:tr w:rsidR="00D114ED" w:rsidRPr="00DE062B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Від господарської та виробничої діяльності та платних послуг надійшло на спецрахунок 6126947,34 грн..Залишок коштів станом на 01.01.2024року –  111045,90 грн.</w:t>
            </w:r>
          </w:p>
        </w:tc>
      </w:tr>
      <w:tr w:rsidR="00D114ED" w:rsidRPr="00DE062B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Надано спонсорську допомогу на суму 1063948,90грн. Залишок коштів станом на 01.01.2024 р.- 675,00 грн .</w:t>
            </w:r>
          </w:p>
        </w:tc>
      </w:tr>
      <w:tr w:rsidR="00D114ED" w:rsidRPr="00DE062B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Надійшло коштів по бюджету розвитку по КПК 0611091-3024227,73 грн. та по КПК 0618240 - 129280,00 грн. Залишку коштів станом на 01.01.2024 року не має.</w:t>
            </w:r>
          </w:p>
        </w:tc>
      </w:tr>
      <w:tr w:rsidR="00D114ED" w:rsidRPr="00DE062B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Кредиторська заборгованость станом на 01.01.2024 р по загальному та спеціальному фонду відсутня.</w:t>
            </w:r>
          </w:p>
        </w:tc>
      </w:tr>
      <w:tr w:rsidR="00D114ED" w:rsidRPr="00DE062B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 заборгованість по спеціальному фонду станом на 01.01.2024року становить  354689,00 грн.. в т.ч Доходи - 354689,00 грн (нарахована плата за проживання в гуртожитку за грудень місяць ,яка буде погашена в січні) Дебіторської та кредиторської заборгованоств по бюджету розвитку не має.</w:t>
            </w:r>
          </w:p>
        </w:tc>
      </w:tr>
      <w:tr w:rsidR="00D114ED" w:rsidRPr="00DE062B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Дебіторської та кредиторської заборгованості за операціями ,які не відносяться до виконання кошторису станом на 01.01.2024року не має..</w:t>
            </w:r>
          </w:p>
        </w:tc>
      </w:tr>
      <w:tr w:rsidR="00D114ED" w:rsidRPr="00DE062B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Станом на 1 січня 2024 року залишку коштів на рахунку не має .</w:t>
            </w:r>
          </w:p>
        </w:tc>
      </w:tr>
      <w:tr w:rsidR="00D114ED" w:rsidRPr="00DE062B">
        <w:trPr>
          <w:trHeight w:hRule="exact" w:val="136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У звіті фінанссові результати (Форма -2дс) ДОХОДИ : У рядку 2010 "Бюджетні асигнування " відображена сума отриманих бюджетних асигнувань загального фонду у звітному періоді – 29557544 грн., а саме отримано бюджетне асигнування 27162983,61грн та бюджетні асигнування спеціального фонду 3153507,73 грн., за мінусом вилученого з доходу звітного періоду цільового фінансування на суму  330687,74 грн. та не включені кошти ,які налійшли на бюджет розвитку по КПК 0618240 - КЕКВ- 3110- 129280 грн. та по КПК 0611091 -:КЕКВ-3110 – 298979,60 грн .</w:t>
            </w:r>
          </w:p>
        </w:tc>
      </w:tr>
      <w:tr w:rsidR="00D114ED" w:rsidRPr="00DE062B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У рядку 2020 " Доходи від наданих послуг (виконання робіт)" відображена сума нарахованого доходу 6199327 грн. в т.ч. плата за послуги ,що надаються бюджетною установою згідно з їх основною діяльністю – 3780828,90 грн.: від додаткової (господарської )діяльності – 2429748,39 грн, за мінусом вилученого з доходу звітноного періоду цільвого фінансування на суму 11250 грн. КЕКВ-2210.</w:t>
            </w:r>
          </w:p>
        </w:tc>
      </w:tr>
      <w:tr w:rsidR="00D114ED" w:rsidRPr="00DE062B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У рядку 2030 Доходи від продажу активів - 5066,79 грн.,які надійшли від здачі металолому та мекалатури.</w:t>
            </w:r>
          </w:p>
        </w:tc>
      </w:tr>
      <w:tr w:rsidR="00D114ED" w:rsidRPr="00DE062B">
        <w:trPr>
          <w:trHeight w:hRule="exact" w:val="916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У рядку 2130 Інші доходи від необмінних операцій " відображена сума 27841 грн.) т. ч.благодійні внески ,гранти,дарунки 1063949 грн. за мінусом вилученого з доходу звітного періоду цільового фінансування на суму поточних витат,що включається до вартості обєкта необоротних активів по КЕКВ-2210 -108605,45,грн.,КЕКВ -3110-- 927502,45 грн</w:t>
            </w:r>
          </w:p>
        </w:tc>
      </w:tr>
      <w:tr w:rsidR="00D114ED" w:rsidRPr="00DE062B">
        <w:trPr>
          <w:trHeight w:hRule="exact" w:val="1166"/>
        </w:trPr>
        <w:tc>
          <w:tcPr>
            <w:tcW w:w="2552" w:type="dxa"/>
          </w:tcPr>
          <w:p w:rsidR="00D114ED" w:rsidRPr="00DE062B" w:rsidRDefault="00D114ED"/>
        </w:tc>
        <w:tc>
          <w:tcPr>
            <w:tcW w:w="891" w:type="dxa"/>
          </w:tcPr>
          <w:p w:rsidR="00D114ED" w:rsidRPr="00DE062B" w:rsidRDefault="00D114ED"/>
        </w:tc>
        <w:tc>
          <w:tcPr>
            <w:tcW w:w="1033" w:type="dxa"/>
          </w:tcPr>
          <w:p w:rsidR="00D114ED" w:rsidRPr="00DE062B" w:rsidRDefault="00D114ED"/>
        </w:tc>
        <w:tc>
          <w:tcPr>
            <w:tcW w:w="1195" w:type="dxa"/>
          </w:tcPr>
          <w:p w:rsidR="00D114ED" w:rsidRPr="00DE062B" w:rsidRDefault="00D114ED"/>
        </w:tc>
        <w:tc>
          <w:tcPr>
            <w:tcW w:w="973" w:type="dxa"/>
          </w:tcPr>
          <w:p w:rsidR="00D114ED" w:rsidRPr="00DE062B" w:rsidRDefault="00D114ED"/>
        </w:tc>
        <w:tc>
          <w:tcPr>
            <w:tcW w:w="161" w:type="dxa"/>
          </w:tcPr>
          <w:p w:rsidR="00D114ED" w:rsidRPr="00DE062B" w:rsidRDefault="00D114ED"/>
        </w:tc>
        <w:tc>
          <w:tcPr>
            <w:tcW w:w="644" w:type="dxa"/>
          </w:tcPr>
          <w:p w:rsidR="00D114ED" w:rsidRPr="00DE062B" w:rsidRDefault="00D114ED"/>
        </w:tc>
        <w:tc>
          <w:tcPr>
            <w:tcW w:w="705" w:type="dxa"/>
          </w:tcPr>
          <w:p w:rsidR="00D114ED" w:rsidRPr="00DE062B" w:rsidRDefault="00D114ED"/>
        </w:tc>
        <w:tc>
          <w:tcPr>
            <w:tcW w:w="352" w:type="dxa"/>
          </w:tcPr>
          <w:p w:rsidR="00D114ED" w:rsidRPr="00DE062B" w:rsidRDefault="00D114ED"/>
        </w:tc>
        <w:tc>
          <w:tcPr>
            <w:tcW w:w="329" w:type="dxa"/>
          </w:tcPr>
          <w:p w:rsidR="00D114ED" w:rsidRPr="00DE062B" w:rsidRDefault="00D114E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114ED" w:rsidRPr="00DE062B" w:rsidRDefault="00D114ED">
            <w:r w:rsidRPr="00DE062B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72" w:type="dxa"/>
          </w:tcPr>
          <w:p w:rsidR="00D114ED" w:rsidRPr="00DE062B" w:rsidRDefault="00D114ED"/>
        </w:tc>
      </w:tr>
      <w:tr w:rsidR="00D114ED" w:rsidRPr="00DE062B">
        <w:trPr>
          <w:trHeight w:hRule="exact" w:val="2119"/>
        </w:trPr>
        <w:tc>
          <w:tcPr>
            <w:tcW w:w="2552" w:type="dxa"/>
          </w:tcPr>
          <w:p w:rsidR="00D114ED" w:rsidRPr="00DE062B" w:rsidRDefault="00D114ED"/>
        </w:tc>
        <w:tc>
          <w:tcPr>
            <w:tcW w:w="891" w:type="dxa"/>
          </w:tcPr>
          <w:p w:rsidR="00D114ED" w:rsidRPr="00DE062B" w:rsidRDefault="00D114ED"/>
        </w:tc>
        <w:tc>
          <w:tcPr>
            <w:tcW w:w="1033" w:type="dxa"/>
          </w:tcPr>
          <w:p w:rsidR="00D114ED" w:rsidRPr="00DE062B" w:rsidRDefault="00D114ED"/>
        </w:tc>
        <w:tc>
          <w:tcPr>
            <w:tcW w:w="1195" w:type="dxa"/>
          </w:tcPr>
          <w:p w:rsidR="00D114ED" w:rsidRPr="00DE062B" w:rsidRDefault="00D114ED"/>
        </w:tc>
        <w:tc>
          <w:tcPr>
            <w:tcW w:w="973" w:type="dxa"/>
          </w:tcPr>
          <w:p w:rsidR="00D114ED" w:rsidRPr="00DE062B" w:rsidRDefault="00D114ED"/>
        </w:tc>
        <w:tc>
          <w:tcPr>
            <w:tcW w:w="161" w:type="dxa"/>
          </w:tcPr>
          <w:p w:rsidR="00D114ED" w:rsidRPr="00DE062B" w:rsidRDefault="00D114ED"/>
        </w:tc>
        <w:tc>
          <w:tcPr>
            <w:tcW w:w="644" w:type="dxa"/>
          </w:tcPr>
          <w:p w:rsidR="00D114ED" w:rsidRPr="00DE062B" w:rsidRDefault="00D114ED"/>
        </w:tc>
        <w:tc>
          <w:tcPr>
            <w:tcW w:w="705" w:type="dxa"/>
          </w:tcPr>
          <w:p w:rsidR="00D114ED" w:rsidRPr="00DE062B" w:rsidRDefault="00D114ED"/>
        </w:tc>
        <w:tc>
          <w:tcPr>
            <w:tcW w:w="352" w:type="dxa"/>
          </w:tcPr>
          <w:p w:rsidR="00D114ED" w:rsidRPr="00DE062B" w:rsidRDefault="00D114ED"/>
        </w:tc>
        <w:tc>
          <w:tcPr>
            <w:tcW w:w="329" w:type="dxa"/>
          </w:tcPr>
          <w:p w:rsidR="00D114ED" w:rsidRPr="00DE062B" w:rsidRDefault="00D114ED"/>
        </w:tc>
        <w:tc>
          <w:tcPr>
            <w:tcW w:w="680" w:type="dxa"/>
          </w:tcPr>
          <w:p w:rsidR="00D114ED" w:rsidRPr="00DE062B" w:rsidRDefault="00D114ED"/>
        </w:tc>
        <w:tc>
          <w:tcPr>
            <w:tcW w:w="408" w:type="dxa"/>
          </w:tcPr>
          <w:p w:rsidR="00D114ED" w:rsidRPr="00DE062B" w:rsidRDefault="00D114ED"/>
        </w:tc>
        <w:tc>
          <w:tcPr>
            <w:tcW w:w="272" w:type="dxa"/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344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202400000042660140</w:t>
            </w:r>
          </w:p>
        </w:tc>
        <w:tc>
          <w:tcPr>
            <w:tcW w:w="103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216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2750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2</w:t>
            </w:r>
          </w:p>
        </w:tc>
      </w:tr>
    </w:tbl>
    <w:p w:rsidR="00D114ED" w:rsidRDefault="00D114E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0"/>
        <w:gridCol w:w="982"/>
        <w:gridCol w:w="730"/>
        <w:gridCol w:w="1134"/>
        <w:gridCol w:w="201"/>
        <w:gridCol w:w="820"/>
        <w:gridCol w:w="515"/>
        <w:gridCol w:w="1334"/>
        <w:gridCol w:w="296"/>
        <w:gridCol w:w="798"/>
        <w:gridCol w:w="244"/>
        <w:gridCol w:w="1085"/>
        <w:gridCol w:w="306"/>
        <w:gridCol w:w="878"/>
        <w:gridCol w:w="399"/>
      </w:tblGrid>
      <w:tr w:rsidR="00D114ED" w:rsidRPr="00DE062B">
        <w:trPr>
          <w:trHeight w:hRule="exact" w:val="1141"/>
        </w:trPr>
        <w:tc>
          <w:tcPr>
            <w:tcW w:w="102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14ED" w:rsidRPr="00DE062B" w:rsidRDefault="00D11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062B">
              <w:rPr>
                <w:rFonts w:ascii="Times New Roman" w:hAnsi="Times New Roman"/>
                <w:color w:val="000000"/>
                <w:sz w:val="20"/>
                <w:szCs w:val="20"/>
              </w:rPr>
              <w:t>т ВИТРАТИ : У рядку 2310 " Інші витрати за неомінними операціями" - 6540741 грн. відображено : Витрати по КЕКВ 2700 "Соціальне забезпечення " - 6540741 грн. в т.ч. КЕКВ-2720 - 6307233,00 грн.. та КЕКВ-2730 - 233508,00 грн. Фінансовий результат станом на 01.01.2023 р- 568866 грн. Фінансовий результат виконання кошторису звітного періоду - 196942 грн. Фінансовий результат станом на 01.01.2024 р.- 765808 грн. Пасиві балансу р.1410 "Капітал в дооцінках" відображена сума дооцінки житлового фонду 4306 грн.</w:t>
            </w:r>
          </w:p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4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4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307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>
            <w:pPr>
              <w:spacing w:after="0" w:line="210" w:lineRule="auto"/>
              <w:rPr>
                <w:sz w:val="18"/>
                <w:szCs w:val="18"/>
              </w:rPr>
            </w:pPr>
            <w:r w:rsidRPr="00DE062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25 " січня 2024р.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114ED" w:rsidRPr="00DE062B" w:rsidRDefault="00D114E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7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114ED" w:rsidRPr="00DE062B" w:rsidRDefault="00D114ED"/>
        </w:tc>
      </w:tr>
      <w:tr w:rsidR="00D114ED" w:rsidRPr="00DE062B">
        <w:trPr>
          <w:trHeight w:hRule="exact" w:val="1166"/>
        </w:trPr>
        <w:tc>
          <w:tcPr>
            <w:tcW w:w="567" w:type="dxa"/>
          </w:tcPr>
          <w:p w:rsidR="00D114ED" w:rsidRPr="00DE062B" w:rsidRDefault="00D114ED"/>
        </w:tc>
        <w:tc>
          <w:tcPr>
            <w:tcW w:w="992" w:type="dxa"/>
          </w:tcPr>
          <w:p w:rsidR="00D114ED" w:rsidRPr="00DE062B" w:rsidRDefault="00D114ED"/>
        </w:tc>
        <w:tc>
          <w:tcPr>
            <w:tcW w:w="737" w:type="dxa"/>
          </w:tcPr>
          <w:p w:rsidR="00D114ED" w:rsidRPr="00DE062B" w:rsidRDefault="00D114ED"/>
        </w:tc>
        <w:tc>
          <w:tcPr>
            <w:tcW w:w="1146" w:type="dxa"/>
          </w:tcPr>
          <w:p w:rsidR="00D114ED" w:rsidRPr="00DE062B" w:rsidRDefault="00D114ED"/>
        </w:tc>
        <w:tc>
          <w:tcPr>
            <w:tcW w:w="203" w:type="dxa"/>
          </w:tcPr>
          <w:p w:rsidR="00D114ED" w:rsidRPr="00DE062B" w:rsidRDefault="00D114ED"/>
        </w:tc>
        <w:tc>
          <w:tcPr>
            <w:tcW w:w="830" w:type="dxa"/>
          </w:tcPr>
          <w:p w:rsidR="00D114ED" w:rsidRPr="00DE062B" w:rsidRDefault="00D114ED"/>
        </w:tc>
        <w:tc>
          <w:tcPr>
            <w:tcW w:w="520" w:type="dxa"/>
          </w:tcPr>
          <w:p w:rsidR="00D114ED" w:rsidRPr="00DE062B" w:rsidRDefault="00D114ED"/>
        </w:tc>
        <w:tc>
          <w:tcPr>
            <w:tcW w:w="1349" w:type="dxa"/>
          </w:tcPr>
          <w:p w:rsidR="00D114ED" w:rsidRPr="00DE062B" w:rsidRDefault="00D114ED"/>
        </w:tc>
        <w:tc>
          <w:tcPr>
            <w:tcW w:w="298" w:type="dxa"/>
          </w:tcPr>
          <w:p w:rsidR="00D114ED" w:rsidRPr="00DE062B" w:rsidRDefault="00D114ED"/>
        </w:tc>
        <w:tc>
          <w:tcPr>
            <w:tcW w:w="805" w:type="dxa"/>
          </w:tcPr>
          <w:p w:rsidR="00D114ED" w:rsidRPr="00DE062B" w:rsidRDefault="00D114ED"/>
        </w:tc>
        <w:tc>
          <w:tcPr>
            <w:tcW w:w="246" w:type="dxa"/>
          </w:tcPr>
          <w:p w:rsidR="00D114ED" w:rsidRPr="00DE062B" w:rsidRDefault="00D114ED"/>
        </w:tc>
        <w:tc>
          <w:tcPr>
            <w:tcW w:w="1095" w:type="dxa"/>
          </w:tcPr>
          <w:p w:rsidR="00D114ED" w:rsidRPr="00DE062B" w:rsidRDefault="00D114E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114ED" w:rsidRPr="00DE062B" w:rsidRDefault="00D114ED">
            <w:r w:rsidRPr="00DE062B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03" w:type="dxa"/>
          </w:tcPr>
          <w:p w:rsidR="00D114ED" w:rsidRPr="00DE062B" w:rsidRDefault="00D114ED"/>
        </w:tc>
      </w:tr>
      <w:tr w:rsidR="00D114ED" w:rsidRPr="00DE062B">
        <w:trPr>
          <w:trHeight w:hRule="exact" w:val="10582"/>
        </w:trPr>
        <w:tc>
          <w:tcPr>
            <w:tcW w:w="567" w:type="dxa"/>
          </w:tcPr>
          <w:p w:rsidR="00D114ED" w:rsidRPr="00DE062B" w:rsidRDefault="00D114ED"/>
        </w:tc>
        <w:tc>
          <w:tcPr>
            <w:tcW w:w="992" w:type="dxa"/>
          </w:tcPr>
          <w:p w:rsidR="00D114ED" w:rsidRPr="00DE062B" w:rsidRDefault="00D114ED"/>
        </w:tc>
        <w:tc>
          <w:tcPr>
            <w:tcW w:w="737" w:type="dxa"/>
          </w:tcPr>
          <w:p w:rsidR="00D114ED" w:rsidRPr="00DE062B" w:rsidRDefault="00D114ED"/>
        </w:tc>
        <w:tc>
          <w:tcPr>
            <w:tcW w:w="1146" w:type="dxa"/>
          </w:tcPr>
          <w:p w:rsidR="00D114ED" w:rsidRPr="00DE062B" w:rsidRDefault="00D114ED"/>
        </w:tc>
        <w:tc>
          <w:tcPr>
            <w:tcW w:w="203" w:type="dxa"/>
          </w:tcPr>
          <w:p w:rsidR="00D114ED" w:rsidRPr="00DE062B" w:rsidRDefault="00D114ED"/>
        </w:tc>
        <w:tc>
          <w:tcPr>
            <w:tcW w:w="830" w:type="dxa"/>
          </w:tcPr>
          <w:p w:rsidR="00D114ED" w:rsidRPr="00DE062B" w:rsidRDefault="00D114ED"/>
        </w:tc>
        <w:tc>
          <w:tcPr>
            <w:tcW w:w="520" w:type="dxa"/>
          </w:tcPr>
          <w:p w:rsidR="00D114ED" w:rsidRPr="00DE062B" w:rsidRDefault="00D114ED"/>
        </w:tc>
        <w:tc>
          <w:tcPr>
            <w:tcW w:w="1349" w:type="dxa"/>
          </w:tcPr>
          <w:p w:rsidR="00D114ED" w:rsidRPr="00DE062B" w:rsidRDefault="00D114ED"/>
        </w:tc>
        <w:tc>
          <w:tcPr>
            <w:tcW w:w="298" w:type="dxa"/>
          </w:tcPr>
          <w:p w:rsidR="00D114ED" w:rsidRPr="00DE062B" w:rsidRDefault="00D114ED"/>
        </w:tc>
        <w:tc>
          <w:tcPr>
            <w:tcW w:w="805" w:type="dxa"/>
          </w:tcPr>
          <w:p w:rsidR="00D114ED" w:rsidRPr="00DE062B" w:rsidRDefault="00D114ED"/>
        </w:tc>
        <w:tc>
          <w:tcPr>
            <w:tcW w:w="246" w:type="dxa"/>
          </w:tcPr>
          <w:p w:rsidR="00D114ED" w:rsidRPr="00DE062B" w:rsidRDefault="00D114ED"/>
        </w:tc>
        <w:tc>
          <w:tcPr>
            <w:tcW w:w="1095" w:type="dxa"/>
          </w:tcPr>
          <w:p w:rsidR="00D114ED" w:rsidRPr="00DE062B" w:rsidRDefault="00D114ED"/>
        </w:tc>
        <w:tc>
          <w:tcPr>
            <w:tcW w:w="255" w:type="dxa"/>
          </w:tcPr>
          <w:p w:rsidR="00D114ED" w:rsidRPr="00DE062B" w:rsidRDefault="00D114ED"/>
        </w:tc>
        <w:tc>
          <w:tcPr>
            <w:tcW w:w="760" w:type="dxa"/>
          </w:tcPr>
          <w:p w:rsidR="00D114ED" w:rsidRPr="00DE062B" w:rsidRDefault="00D114ED"/>
        </w:tc>
        <w:tc>
          <w:tcPr>
            <w:tcW w:w="403" w:type="dxa"/>
          </w:tcPr>
          <w:p w:rsidR="00D114ED" w:rsidRPr="00DE062B" w:rsidRDefault="00D114ED"/>
        </w:tc>
      </w:tr>
      <w:tr w:rsidR="00D114ED" w:rsidRPr="00DE062B">
        <w:trPr>
          <w:trHeight w:hRule="exact" w:val="277"/>
        </w:trPr>
        <w:tc>
          <w:tcPr>
            <w:tcW w:w="344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202400000042660140</w:t>
            </w:r>
          </w:p>
        </w:tc>
        <w:tc>
          <w:tcPr>
            <w:tcW w:w="103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216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/>
        </w:tc>
        <w:tc>
          <w:tcPr>
            <w:tcW w:w="275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14ED" w:rsidRPr="00DE062B" w:rsidRDefault="00D114E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E062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2</w:t>
            </w:r>
          </w:p>
        </w:tc>
      </w:tr>
    </w:tbl>
    <w:p w:rsidR="00D114ED" w:rsidRDefault="00D114ED"/>
    <w:sectPr w:rsidR="00D114ED" w:rsidSect="004026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026DE"/>
    <w:rsid w:val="006D6C9A"/>
    <w:rsid w:val="00A06B38"/>
    <w:rsid w:val="00D114ED"/>
    <w:rsid w:val="00D31453"/>
    <w:rsid w:val="00DE062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D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2736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Form_f_d10</dc:title>
  <dc:subject/>
  <dc:creator>FastReport.NET</dc:creator>
  <cp:keywords/>
  <dc:description/>
  <cp:lastModifiedBy>Ольга</cp:lastModifiedBy>
  <cp:revision>2</cp:revision>
  <dcterms:created xsi:type="dcterms:W3CDTF">2024-02-02T07:54:00Z</dcterms:created>
  <dcterms:modified xsi:type="dcterms:W3CDTF">2024-02-02T07:54:00Z</dcterms:modified>
</cp:coreProperties>
</file>